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6C" w:rsidRPr="00723F3E" w:rsidRDefault="00AB1671">
      <w:pPr>
        <w:rPr>
          <w:rFonts w:ascii="Arial" w:hAnsi="Arial" w:cs="Arial"/>
          <w:sz w:val="24"/>
          <w:szCs w:val="24"/>
        </w:rPr>
      </w:pPr>
      <w:bookmarkStart w:id="0" w:name="_GoBack"/>
      <w:bookmarkEnd w:id="0"/>
      <w:r w:rsidRPr="00723F3E">
        <w:rPr>
          <w:rFonts w:ascii="Arial" w:hAnsi="Arial" w:cs="Arial"/>
          <w:sz w:val="24"/>
          <w:szCs w:val="24"/>
        </w:rPr>
        <w:t>First Year Composition Sequence: Writing Rubric for Composition and Rhetoric II (2</w:t>
      </w:r>
      <w:r w:rsidRPr="00723F3E">
        <w:rPr>
          <w:rFonts w:ascii="Arial" w:hAnsi="Arial" w:cs="Arial"/>
          <w:sz w:val="24"/>
          <w:szCs w:val="24"/>
          <w:vertAlign w:val="superscript"/>
        </w:rPr>
        <w:t>nd</w:t>
      </w:r>
      <w:r w:rsidRPr="00723F3E">
        <w:rPr>
          <w:rFonts w:ascii="Arial" w:hAnsi="Arial" w:cs="Arial"/>
          <w:sz w:val="24"/>
          <w:szCs w:val="24"/>
        </w:rPr>
        <w:t xml:space="preserve"> of three course levels)</w:t>
      </w:r>
    </w:p>
    <w:tbl>
      <w:tblPr>
        <w:tblW w:w="11720" w:type="dxa"/>
        <w:tblCellMar>
          <w:left w:w="0" w:type="dxa"/>
          <w:right w:w="0" w:type="dxa"/>
        </w:tblCellMar>
        <w:tblLook w:val="04A0" w:firstRow="1" w:lastRow="0" w:firstColumn="1" w:lastColumn="0" w:noHBand="0" w:noVBand="1"/>
      </w:tblPr>
      <w:tblGrid>
        <w:gridCol w:w="1680"/>
        <w:gridCol w:w="2500"/>
        <w:gridCol w:w="2520"/>
        <w:gridCol w:w="2500"/>
        <w:gridCol w:w="2520"/>
      </w:tblGrid>
      <w:tr w:rsidR="00AB1671" w:rsidRPr="00AB1671" w:rsidTr="00AB1671">
        <w:trPr>
          <w:trHeight w:val="193"/>
        </w:trPr>
        <w:tc>
          <w:tcPr>
            <w:tcW w:w="168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b/>
                <w:bCs/>
                <w:color w:val="FFFFFF"/>
                <w:kern w:val="24"/>
                <w:sz w:val="20"/>
                <w:szCs w:val="20"/>
              </w:rPr>
              <w:t>Criteria/levels</w:t>
            </w:r>
          </w:p>
        </w:tc>
        <w:tc>
          <w:tcPr>
            <w:tcW w:w="25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b/>
                <w:bCs/>
                <w:color w:val="FFFFFF"/>
                <w:kern w:val="24"/>
                <w:sz w:val="20"/>
                <w:szCs w:val="20"/>
              </w:rPr>
              <w:t>Excellent [4]</w:t>
            </w:r>
          </w:p>
        </w:tc>
        <w:tc>
          <w:tcPr>
            <w:tcW w:w="25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b/>
                <w:bCs/>
                <w:color w:val="FFFFFF"/>
                <w:kern w:val="24"/>
                <w:sz w:val="20"/>
                <w:szCs w:val="20"/>
              </w:rPr>
              <w:t>Satisfactory [3]</w:t>
            </w:r>
          </w:p>
        </w:tc>
        <w:tc>
          <w:tcPr>
            <w:tcW w:w="25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b/>
                <w:bCs/>
                <w:color w:val="FFFFFF"/>
                <w:kern w:val="24"/>
                <w:sz w:val="20"/>
                <w:szCs w:val="20"/>
              </w:rPr>
              <w:t>Emerging [2]</w:t>
            </w:r>
          </w:p>
        </w:tc>
        <w:tc>
          <w:tcPr>
            <w:tcW w:w="25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b/>
                <w:bCs/>
                <w:color w:val="FFFFFF"/>
                <w:kern w:val="24"/>
                <w:sz w:val="20"/>
                <w:szCs w:val="20"/>
              </w:rPr>
              <w:t>Unsatisfactory [1]</w:t>
            </w:r>
          </w:p>
        </w:tc>
      </w:tr>
      <w:tr w:rsidR="00AB1671" w:rsidRPr="00AB1671" w:rsidTr="00AB1671">
        <w:trPr>
          <w:trHeight w:val="1734"/>
        </w:trPr>
        <w:tc>
          <w:tcPr>
            <w:tcW w:w="168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b/>
                <w:bCs/>
                <w:color w:val="FFFFFF"/>
                <w:kern w:val="24"/>
                <w:sz w:val="20"/>
                <w:szCs w:val="20"/>
              </w:rPr>
              <w:t>Content of and Purpose for Writing Includes considerations of audience, purpose, and the circumstances surrounding the writing task(s)</w:t>
            </w:r>
          </w:p>
        </w:tc>
        <w:tc>
          <w:tcPr>
            <w:tcW w:w="25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color w:val="000000"/>
                <w:kern w:val="24"/>
                <w:sz w:val="20"/>
                <w:szCs w:val="20"/>
              </w:rPr>
              <w:t xml:space="preserve">Demonstrates attention to context, audience, purpose, and to the assigned tasks(s).  Thesis is clear and connected to the topic.  Shows full awareness of the audience’s perceptions and assumptions   </w:t>
            </w:r>
          </w:p>
        </w:tc>
        <w:tc>
          <w:tcPr>
            <w:tcW w:w="25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color w:val="000000"/>
                <w:kern w:val="24"/>
                <w:sz w:val="20"/>
                <w:szCs w:val="20"/>
              </w:rPr>
              <w:t>Demonstrates attention to context, audience, purpose, and to the assigned tasks(s).  Thesis connects consistently to the topic and purpose of the paper.  Begins to show awareness of the audience’s perceptions and assumptions</w:t>
            </w:r>
          </w:p>
        </w:tc>
        <w:tc>
          <w:tcPr>
            <w:tcW w:w="25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color w:val="000000"/>
                <w:kern w:val="24"/>
                <w:sz w:val="20"/>
                <w:szCs w:val="20"/>
              </w:rPr>
              <w:t>Demonstrates some attention to context, audience, purpose, and to the assigned tasks(s).  Thesis may not always connect to the topic and purpose of the paper, and may not match the body of the paper in some places</w:t>
            </w:r>
          </w:p>
        </w:tc>
        <w:tc>
          <w:tcPr>
            <w:tcW w:w="25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color w:val="000000"/>
                <w:kern w:val="24"/>
                <w:sz w:val="20"/>
                <w:szCs w:val="20"/>
              </w:rPr>
              <w:t>Demonstrates inconsistent or nonexistent attention to context, audience, purpose, and to the assigned tasks(s).  Thesis minimally connects to the topic and purpose of the paper, and may not match the body of the paper in some places</w:t>
            </w:r>
          </w:p>
        </w:tc>
      </w:tr>
      <w:tr w:rsidR="00AB1671" w:rsidRPr="00AB1671" w:rsidTr="00AB1671">
        <w:trPr>
          <w:trHeight w:val="578"/>
        </w:trPr>
        <w:tc>
          <w:tcPr>
            <w:tcW w:w="16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b/>
                <w:bCs/>
                <w:color w:val="FFFFFF"/>
                <w:kern w:val="24"/>
                <w:sz w:val="20"/>
                <w:szCs w:val="20"/>
              </w:rPr>
              <w:t>Content Development</w:t>
            </w:r>
          </w:p>
        </w:tc>
        <w:tc>
          <w:tcPr>
            <w:tcW w:w="25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color w:val="000000"/>
                <w:kern w:val="24"/>
                <w:sz w:val="20"/>
                <w:szCs w:val="20"/>
              </w:rPr>
              <w:t>Uses appropriate and relevant content to develop and explore ideas throughout the work</w:t>
            </w:r>
          </w:p>
        </w:tc>
        <w:tc>
          <w:tcPr>
            <w:tcW w:w="25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color w:val="000000"/>
                <w:kern w:val="24"/>
                <w:sz w:val="20"/>
                <w:szCs w:val="20"/>
              </w:rPr>
              <w:t>Uses appropriate and relevant content to develop ideas throughout most of the work</w:t>
            </w:r>
          </w:p>
        </w:tc>
        <w:tc>
          <w:tcPr>
            <w:tcW w:w="25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color w:val="000000"/>
                <w:kern w:val="24"/>
                <w:sz w:val="20"/>
                <w:szCs w:val="20"/>
              </w:rPr>
              <w:t>Inconsistently uses appropriate and relevant content to develop ideas in some parts of the work</w:t>
            </w:r>
          </w:p>
        </w:tc>
        <w:tc>
          <w:tcPr>
            <w:tcW w:w="25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color w:val="000000"/>
                <w:kern w:val="24"/>
                <w:sz w:val="20"/>
                <w:szCs w:val="20"/>
              </w:rPr>
              <w:t>Uses inappropriate and irrelevant content to develop ideas in some parts of the work</w:t>
            </w:r>
          </w:p>
        </w:tc>
      </w:tr>
      <w:tr w:rsidR="00AB1671" w:rsidRPr="00AB1671" w:rsidTr="00AB1671">
        <w:trPr>
          <w:trHeight w:val="1926"/>
        </w:trPr>
        <w:tc>
          <w:tcPr>
            <w:tcW w:w="16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b/>
                <w:bCs/>
                <w:color w:val="FFFFFF"/>
                <w:kern w:val="24"/>
                <w:sz w:val="20"/>
                <w:szCs w:val="20"/>
              </w:rPr>
              <w:t xml:space="preserve">Genre and Disciplinary Conventions </w:t>
            </w:r>
          </w:p>
        </w:tc>
        <w:tc>
          <w:tcPr>
            <w:tcW w:w="25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color w:val="000000"/>
                <w:kern w:val="24"/>
                <w:sz w:val="20"/>
                <w:szCs w:val="20"/>
              </w:rPr>
              <w:t>Uses a consistent system for organization, development and presentation.  Demonstrates clear disciplinary knowledge of the rhetorical triangle (ethos, pathos, and logos).  Follows expectations appropriate to a specific discipline and/or writing task</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color w:val="000000"/>
                <w:kern w:val="24"/>
                <w:sz w:val="20"/>
                <w:szCs w:val="20"/>
              </w:rPr>
              <w:t>Uses a consistent system for organization, development and presentation.  Demonstrates some disciplinary knowledge of the rhetorical triangle (ethos, pathos, and logos).  Shows awareness of expectations appropriate to a specific discipline and/or writing task</w:t>
            </w:r>
          </w:p>
        </w:tc>
        <w:tc>
          <w:tcPr>
            <w:tcW w:w="25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color w:val="000000"/>
                <w:kern w:val="24"/>
                <w:sz w:val="20"/>
                <w:szCs w:val="20"/>
              </w:rPr>
              <w:t>Attempts to use a consistent system for organization, development and presentation.  Demonstrates some disciplinary knowledge of the rhetorical triangle (ethos, pathos, and logos).  Shows minimal awareness of expectations appropriate to a specific discipline and/or writing task</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color w:val="000000"/>
                <w:kern w:val="24"/>
                <w:sz w:val="20"/>
                <w:szCs w:val="20"/>
              </w:rPr>
              <w:t>Uses an inconsistent system for organization, development and presentation.  Demonstrates minimal disciplinary knowledge of the rhetorical triangle (ethos, pathos, and logos).  Shows no awareness of expectations appropriate to a specific discipline and/or writing task</w:t>
            </w:r>
          </w:p>
        </w:tc>
      </w:tr>
      <w:tr w:rsidR="00AB1671" w:rsidRPr="00AB1671" w:rsidTr="00AB1671">
        <w:trPr>
          <w:trHeight w:val="1348"/>
        </w:trPr>
        <w:tc>
          <w:tcPr>
            <w:tcW w:w="16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b/>
                <w:bCs/>
                <w:color w:val="FFFFFF"/>
                <w:kern w:val="24"/>
                <w:sz w:val="20"/>
                <w:szCs w:val="20"/>
              </w:rPr>
              <w:t>Sources and Evidence</w:t>
            </w:r>
          </w:p>
        </w:tc>
        <w:tc>
          <w:tcPr>
            <w:tcW w:w="25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color w:val="000000"/>
                <w:kern w:val="24"/>
                <w:sz w:val="20"/>
                <w:szCs w:val="20"/>
              </w:rPr>
              <w:t xml:space="preserve"> Uses sources to support ideas in the writing.  Quotes, if applicable, are accurately placed.  Citations are correctly formatted in MLA or APA</w:t>
            </w:r>
          </w:p>
        </w:tc>
        <w:tc>
          <w:tcPr>
            <w:tcW w:w="25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color w:val="000000"/>
                <w:kern w:val="24"/>
                <w:sz w:val="20"/>
                <w:szCs w:val="20"/>
              </w:rPr>
              <w:t>Demonstrates an attempt to use sources to support ideas in the writing.  Quotes, if applicable, are generally accurately placed.  Citations are inconsistently formatted in MLA or APA</w:t>
            </w:r>
          </w:p>
        </w:tc>
        <w:tc>
          <w:tcPr>
            <w:tcW w:w="25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color w:val="000000"/>
                <w:kern w:val="24"/>
                <w:sz w:val="20"/>
                <w:szCs w:val="20"/>
              </w:rPr>
              <w:t>Demonstrates an attempt to use sources to support ideas in the writing.  Quotes, if applicable, are not always accurately placed.  Citations are inconsistently formatted in MLA or APA</w:t>
            </w:r>
          </w:p>
        </w:tc>
        <w:tc>
          <w:tcPr>
            <w:tcW w:w="25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color w:val="000000"/>
                <w:kern w:val="24"/>
                <w:sz w:val="20"/>
                <w:szCs w:val="20"/>
              </w:rPr>
              <w:t>Demonstrates little attempt to use sources to support ideas in the writing.  Quotes, if applicable, are not accurately placed.  Citations are not correctly formatted in MLA or APA</w:t>
            </w:r>
          </w:p>
        </w:tc>
      </w:tr>
      <w:tr w:rsidR="00AB1671" w:rsidRPr="00AB1671" w:rsidTr="00AB1671">
        <w:trPr>
          <w:trHeight w:val="963"/>
        </w:trPr>
        <w:tc>
          <w:tcPr>
            <w:tcW w:w="1680" w:type="dxa"/>
            <w:tcBorders>
              <w:top w:val="single" w:sz="8" w:space="0" w:color="FFFFFF"/>
              <w:left w:val="single" w:sz="8" w:space="0" w:color="FFFFFF"/>
              <w:bottom w:val="single" w:sz="8" w:space="0" w:color="FFFFFF"/>
              <w:right w:val="single" w:sz="8" w:space="0" w:color="FFFFFF"/>
            </w:tcBorders>
            <w:shd w:val="clear" w:color="auto" w:fill="4F81BD"/>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b/>
                <w:bCs/>
                <w:color w:val="FFFFFF"/>
                <w:kern w:val="24"/>
                <w:sz w:val="20"/>
                <w:szCs w:val="20"/>
              </w:rPr>
              <w:t>Control of Syntax and Mechanics</w:t>
            </w:r>
          </w:p>
        </w:tc>
        <w:tc>
          <w:tcPr>
            <w:tcW w:w="25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color w:val="000000"/>
                <w:kern w:val="24"/>
                <w:sz w:val="20"/>
                <w:szCs w:val="20"/>
              </w:rPr>
              <w:t>Uses language that is free from errors in usage and mechanics.  Writing is clear and precise</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color w:val="000000"/>
                <w:kern w:val="24"/>
                <w:sz w:val="20"/>
                <w:szCs w:val="20"/>
              </w:rPr>
              <w:t>Uses language that occasionally impedes meaning because of errors in usage.  Errors in mechanics occasionally undermine clarity and precision.</w:t>
            </w:r>
          </w:p>
        </w:tc>
        <w:tc>
          <w:tcPr>
            <w:tcW w:w="25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color w:val="000000"/>
                <w:kern w:val="24"/>
                <w:sz w:val="20"/>
                <w:szCs w:val="20"/>
              </w:rPr>
              <w:t>Uses language that sometimes impedes meaning because of errors in usage.  Errors in mechanics sometimes undermine clarity and precision.</w:t>
            </w:r>
          </w:p>
        </w:tc>
        <w:tc>
          <w:tcPr>
            <w:tcW w:w="25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87" w:type="dxa"/>
              <w:bottom w:w="0" w:type="dxa"/>
              <w:right w:w="87" w:type="dxa"/>
            </w:tcMar>
            <w:hideMark/>
          </w:tcPr>
          <w:p w:rsidR="00AB1671" w:rsidRPr="00AB1671" w:rsidRDefault="00AB1671" w:rsidP="00AB1671">
            <w:pPr>
              <w:spacing w:after="0" w:line="240" w:lineRule="auto"/>
              <w:rPr>
                <w:rFonts w:ascii="Arial" w:eastAsia="Times New Roman" w:hAnsi="Arial" w:cs="Arial"/>
                <w:sz w:val="20"/>
                <w:szCs w:val="20"/>
              </w:rPr>
            </w:pPr>
            <w:r w:rsidRPr="00AB1671">
              <w:rPr>
                <w:rFonts w:ascii="Calibri" w:eastAsia="Times New Roman" w:hAnsi="Calibri" w:cs="Arial"/>
                <w:color w:val="000000"/>
                <w:kern w:val="24"/>
                <w:sz w:val="20"/>
                <w:szCs w:val="20"/>
              </w:rPr>
              <w:t xml:space="preserve">Uses language that often impedes meaning because of errors in usage.  Errors in mechanics often undermine clarity and precision. </w:t>
            </w:r>
          </w:p>
        </w:tc>
      </w:tr>
      <w:tr w:rsidR="00AB1671" w:rsidRPr="00AB1671" w:rsidTr="00AB1671">
        <w:trPr>
          <w:trHeight w:val="385"/>
        </w:trPr>
        <w:tc>
          <w:tcPr>
            <w:tcW w:w="11720" w:type="dxa"/>
            <w:gridSpan w:val="5"/>
            <w:tcBorders>
              <w:top w:val="single" w:sz="8" w:space="0" w:color="FFFFFF"/>
              <w:left w:val="single" w:sz="8" w:space="0" w:color="FFFFFF"/>
              <w:bottom w:val="single" w:sz="8" w:space="0" w:color="FFFFFF"/>
              <w:right w:val="single" w:sz="8" w:space="0" w:color="FFFFFF"/>
            </w:tcBorders>
            <w:shd w:val="clear" w:color="auto" w:fill="4F81BD"/>
            <w:tcMar>
              <w:top w:w="15" w:type="dxa"/>
              <w:left w:w="87" w:type="dxa"/>
              <w:bottom w:w="0" w:type="dxa"/>
              <w:right w:w="87" w:type="dxa"/>
            </w:tcMar>
            <w:hideMark/>
          </w:tcPr>
          <w:p w:rsidR="00AB1671" w:rsidRPr="00AB1671" w:rsidRDefault="00AB1671" w:rsidP="00AB1671">
            <w:pPr>
              <w:spacing w:after="0" w:line="240" w:lineRule="auto"/>
              <w:jc w:val="center"/>
              <w:rPr>
                <w:rFonts w:ascii="Arial" w:eastAsia="Times New Roman" w:hAnsi="Arial" w:cs="Arial"/>
                <w:sz w:val="20"/>
                <w:szCs w:val="20"/>
              </w:rPr>
            </w:pPr>
            <w:r w:rsidRPr="00AB1671">
              <w:rPr>
                <w:rFonts w:ascii="Calibri" w:eastAsia="Times New Roman" w:hAnsi="Calibri" w:cs="Arial"/>
                <w:b/>
                <w:bCs/>
                <w:color w:val="FFFFFF"/>
                <w:kern w:val="24"/>
                <w:sz w:val="20"/>
                <w:szCs w:val="20"/>
              </w:rPr>
              <w:t> </w:t>
            </w:r>
          </w:p>
          <w:p w:rsidR="00AB1671" w:rsidRPr="00AB1671" w:rsidRDefault="00AB1671" w:rsidP="00AB1671">
            <w:pPr>
              <w:spacing w:after="0" w:line="240" w:lineRule="auto"/>
              <w:jc w:val="center"/>
              <w:rPr>
                <w:rFonts w:ascii="Arial" w:eastAsia="Times New Roman" w:hAnsi="Arial" w:cs="Arial"/>
                <w:sz w:val="20"/>
                <w:szCs w:val="20"/>
              </w:rPr>
            </w:pPr>
            <w:r w:rsidRPr="00AB1671">
              <w:rPr>
                <w:rFonts w:ascii="Calibri" w:eastAsia="Times New Roman" w:hAnsi="Calibri" w:cs="Arial"/>
                <w:b/>
                <w:bCs/>
                <w:color w:val="FFFFFF"/>
                <w:kern w:val="24"/>
                <w:sz w:val="20"/>
                <w:szCs w:val="20"/>
              </w:rPr>
              <w:t>derived from the Association of American Colleges and Universities (AACU) Written Communication Rubrics</w:t>
            </w:r>
          </w:p>
        </w:tc>
      </w:tr>
    </w:tbl>
    <w:p w:rsidR="00AB1671" w:rsidRDefault="00AB1671">
      <w:pPr>
        <w:sectPr w:rsidR="00AB1671" w:rsidSect="00723F3E">
          <w:pgSz w:w="15840" w:h="12240" w:orient="landscape"/>
          <w:pgMar w:top="360" w:right="360" w:bottom="360" w:left="360" w:header="720" w:footer="720" w:gutter="0"/>
          <w:cols w:space="720"/>
          <w:docGrid w:linePitch="360"/>
        </w:sectPr>
      </w:pPr>
    </w:p>
    <w:p w:rsidR="006157E6" w:rsidRDefault="00AB1671" w:rsidP="006157E6">
      <w:pPr>
        <w:spacing w:after="0"/>
        <w:jc w:val="center"/>
        <w:rPr>
          <w:rFonts w:ascii="Arial" w:hAnsi="Arial" w:cs="Arial"/>
          <w:sz w:val="24"/>
          <w:szCs w:val="24"/>
        </w:rPr>
      </w:pPr>
      <w:r w:rsidRPr="006157E6">
        <w:rPr>
          <w:rFonts w:ascii="Arial" w:hAnsi="Arial" w:cs="Arial"/>
          <w:sz w:val="24"/>
          <w:szCs w:val="24"/>
        </w:rPr>
        <w:lastRenderedPageBreak/>
        <w:t xml:space="preserve">Breaking Classroom Boundaries: Incorporating Campus Resources </w:t>
      </w:r>
    </w:p>
    <w:p w:rsidR="00AB1671" w:rsidRDefault="00AB1671" w:rsidP="006157E6">
      <w:pPr>
        <w:spacing w:after="0"/>
        <w:jc w:val="center"/>
        <w:rPr>
          <w:rFonts w:ascii="Arial" w:hAnsi="Arial" w:cs="Arial"/>
          <w:sz w:val="24"/>
          <w:szCs w:val="24"/>
        </w:rPr>
      </w:pPr>
      <w:r w:rsidRPr="006157E6">
        <w:rPr>
          <w:rFonts w:ascii="Arial" w:hAnsi="Arial" w:cs="Arial"/>
          <w:sz w:val="24"/>
          <w:szCs w:val="24"/>
        </w:rPr>
        <w:t>to Support Significant Learning Experiences in First-Year Composition and Rhetoric</w:t>
      </w:r>
      <w:r w:rsidRPr="006157E6">
        <w:rPr>
          <w:rFonts w:ascii="Arial" w:hAnsi="Arial" w:cs="Arial"/>
          <w:sz w:val="24"/>
          <w:szCs w:val="24"/>
        </w:rPr>
        <w:br/>
        <w:t>Drs. Arlene Young &amp; Carol Barnett, Centenary University</w:t>
      </w:r>
      <w:r w:rsidRPr="006157E6">
        <w:rPr>
          <w:rFonts w:ascii="Arial" w:hAnsi="Arial" w:cs="Arial"/>
          <w:sz w:val="24"/>
          <w:szCs w:val="24"/>
        </w:rPr>
        <w:br/>
        <w:t>2016 New Jersey Writing Alliance Conference</w:t>
      </w:r>
    </w:p>
    <w:p w:rsidR="00FF4D22" w:rsidRDefault="00FF4D22" w:rsidP="006157E6">
      <w:pPr>
        <w:spacing w:after="0"/>
        <w:jc w:val="center"/>
        <w:rPr>
          <w:rFonts w:ascii="Arial" w:hAnsi="Arial" w:cs="Arial"/>
          <w:sz w:val="24"/>
          <w:szCs w:val="24"/>
        </w:rPr>
      </w:pPr>
    </w:p>
    <w:p w:rsidR="00FF4D22" w:rsidRDefault="00FF4D22" w:rsidP="00FF4D22">
      <w:pPr>
        <w:spacing w:after="0"/>
        <w:rPr>
          <w:rFonts w:ascii="Arial" w:hAnsi="Arial" w:cs="Arial"/>
          <w:sz w:val="24"/>
          <w:szCs w:val="24"/>
        </w:rPr>
      </w:pPr>
      <w:r>
        <w:rPr>
          <w:rFonts w:ascii="Arial" w:hAnsi="Arial" w:cs="Arial"/>
          <w:sz w:val="24"/>
          <w:szCs w:val="24"/>
        </w:rPr>
        <w:t>First Year Composition Learning Outcomes</w:t>
      </w:r>
    </w:p>
    <w:p w:rsidR="0044799D" w:rsidRPr="00FF4D22" w:rsidRDefault="00533F47" w:rsidP="00FF4D22">
      <w:pPr>
        <w:numPr>
          <w:ilvl w:val="0"/>
          <w:numId w:val="1"/>
        </w:numPr>
        <w:spacing w:after="0"/>
        <w:rPr>
          <w:rFonts w:ascii="Arial" w:hAnsi="Arial" w:cs="Arial"/>
          <w:sz w:val="24"/>
          <w:szCs w:val="24"/>
        </w:rPr>
      </w:pPr>
      <w:r w:rsidRPr="00FF4D22">
        <w:rPr>
          <w:rFonts w:ascii="Arial" w:hAnsi="Arial" w:cs="Arial"/>
          <w:sz w:val="24"/>
          <w:szCs w:val="24"/>
        </w:rPr>
        <w:t>demonstrate understanding of a variety of purposes and audiences for a text</w:t>
      </w:r>
    </w:p>
    <w:p w:rsidR="0044799D" w:rsidRPr="00FF4D22" w:rsidRDefault="00533F47" w:rsidP="00FF4D22">
      <w:pPr>
        <w:numPr>
          <w:ilvl w:val="0"/>
          <w:numId w:val="1"/>
        </w:numPr>
        <w:spacing w:after="0"/>
        <w:rPr>
          <w:rFonts w:ascii="Arial" w:hAnsi="Arial" w:cs="Arial"/>
          <w:sz w:val="24"/>
          <w:szCs w:val="24"/>
        </w:rPr>
      </w:pPr>
      <w:r w:rsidRPr="00FF4D22">
        <w:rPr>
          <w:rFonts w:ascii="Arial" w:hAnsi="Arial" w:cs="Arial"/>
          <w:sz w:val="24"/>
          <w:szCs w:val="24"/>
        </w:rPr>
        <w:t xml:space="preserve">exhibit knowledge of rhetorical genres and their associated </w:t>
      </w:r>
      <w:r w:rsidRPr="00FF4D22">
        <w:rPr>
          <w:rFonts w:ascii="Arial" w:hAnsi="Arial" w:cs="Arial"/>
          <w:sz w:val="24"/>
          <w:szCs w:val="24"/>
        </w:rPr>
        <w:t>disciplinary conventions</w:t>
      </w:r>
    </w:p>
    <w:p w:rsidR="0044799D" w:rsidRPr="00FF4D22" w:rsidRDefault="00533F47" w:rsidP="00FF4D22">
      <w:pPr>
        <w:numPr>
          <w:ilvl w:val="0"/>
          <w:numId w:val="1"/>
        </w:numPr>
        <w:spacing w:after="0"/>
        <w:rPr>
          <w:rFonts w:ascii="Arial" w:hAnsi="Arial" w:cs="Arial"/>
          <w:sz w:val="24"/>
          <w:szCs w:val="24"/>
        </w:rPr>
      </w:pPr>
      <w:r w:rsidRPr="00FF4D22">
        <w:rPr>
          <w:rFonts w:ascii="Arial" w:hAnsi="Arial" w:cs="Arial"/>
          <w:sz w:val="24"/>
          <w:szCs w:val="24"/>
        </w:rPr>
        <w:t>incorporate sources and show proficiency with standard documentation styles</w:t>
      </w:r>
    </w:p>
    <w:p w:rsidR="0044799D" w:rsidRPr="00FF4D22" w:rsidRDefault="00533F47" w:rsidP="00FF4D22">
      <w:pPr>
        <w:numPr>
          <w:ilvl w:val="0"/>
          <w:numId w:val="1"/>
        </w:numPr>
        <w:spacing w:after="0"/>
        <w:rPr>
          <w:rFonts w:ascii="Arial" w:hAnsi="Arial" w:cs="Arial"/>
          <w:sz w:val="24"/>
          <w:szCs w:val="24"/>
        </w:rPr>
      </w:pPr>
      <w:r w:rsidRPr="00FF4D22">
        <w:rPr>
          <w:rFonts w:ascii="Arial" w:hAnsi="Arial" w:cs="Arial"/>
          <w:sz w:val="24"/>
          <w:szCs w:val="24"/>
        </w:rPr>
        <w:t>demonstrate proficiency with academic discourse in written and oral responses</w:t>
      </w:r>
    </w:p>
    <w:p w:rsidR="00FF4D22" w:rsidRDefault="00FF4D22" w:rsidP="00FF4D22">
      <w:pPr>
        <w:spacing w:after="0"/>
        <w:rPr>
          <w:rFonts w:ascii="Arial" w:hAnsi="Arial" w:cs="Arial"/>
          <w:sz w:val="24"/>
          <w:szCs w:val="24"/>
        </w:rPr>
      </w:pPr>
    </w:p>
    <w:p w:rsidR="00F5016C" w:rsidRDefault="00F5016C" w:rsidP="00FF4D22">
      <w:pPr>
        <w:spacing w:after="0"/>
        <w:rPr>
          <w:rFonts w:ascii="Arial" w:hAnsi="Arial" w:cs="Arial"/>
          <w:sz w:val="24"/>
          <w:szCs w:val="24"/>
        </w:rPr>
      </w:pPr>
    </w:p>
    <w:p w:rsidR="00F5016C" w:rsidRDefault="00F5016C" w:rsidP="00FF4D22">
      <w:pPr>
        <w:spacing w:after="0"/>
        <w:rPr>
          <w:rFonts w:ascii="Arial" w:hAnsi="Arial" w:cs="Arial"/>
          <w:sz w:val="24"/>
          <w:szCs w:val="24"/>
        </w:rPr>
      </w:pPr>
      <w:r>
        <w:rPr>
          <w:rFonts w:ascii="Arial" w:hAnsi="Arial" w:cs="Arial"/>
          <w:sz w:val="24"/>
          <w:szCs w:val="24"/>
        </w:rPr>
        <w:t xml:space="preserve">In </w:t>
      </w:r>
      <w:r w:rsidRPr="00F5016C">
        <w:rPr>
          <w:rFonts w:ascii="Arial" w:hAnsi="Arial" w:cs="Arial"/>
          <w:i/>
          <w:iCs/>
          <w:sz w:val="24"/>
          <w:szCs w:val="24"/>
        </w:rPr>
        <w:t xml:space="preserve">Creating Significant Learning Experiences: An Integrated Approach to Designing College Courses </w:t>
      </w:r>
      <w:r w:rsidRPr="00F5016C">
        <w:rPr>
          <w:rFonts w:ascii="Arial" w:hAnsi="Arial" w:cs="Arial"/>
          <w:sz w:val="24"/>
          <w:szCs w:val="24"/>
        </w:rPr>
        <w:t>and “A Self-Directed Guide to Designing Courses for Significant Learning,” author L. Dee Fink outlines a taxonomy of “Significant Learning,” which prioritizes educational experiences that move beyond “understand-and-remember” instruction and the “application” learning of problem-solving, thinking, and decision-making.  Dee Fink encourages instructors to design direct learning activities that incorporate active learning components of experience, information and ideas, and reflective dialogue.</w:t>
      </w:r>
      <w:r>
        <w:rPr>
          <w:rFonts w:ascii="Arial" w:hAnsi="Arial" w:cs="Arial"/>
          <w:sz w:val="24"/>
          <w:szCs w:val="24"/>
        </w:rPr>
        <w:br/>
      </w:r>
    </w:p>
    <w:p w:rsidR="00F5016C" w:rsidRDefault="001C00CD" w:rsidP="00FF4D22">
      <w:pPr>
        <w:spacing w:after="0"/>
        <w:rPr>
          <w:rFonts w:ascii="Arial" w:hAnsi="Arial" w:cs="Arial"/>
          <w:sz w:val="24"/>
          <w:szCs w:val="24"/>
        </w:rPr>
      </w:pPr>
      <w:r>
        <w:rPr>
          <w:rFonts w:ascii="Arial" w:hAnsi="Arial" w:cs="Arial"/>
          <w:sz w:val="24"/>
          <w:szCs w:val="24"/>
        </w:rPr>
        <w:t>On-campus field trip objectives:</w:t>
      </w:r>
    </w:p>
    <w:p w:rsidR="0044799D" w:rsidRPr="001C00CD" w:rsidRDefault="00533F47" w:rsidP="001C00CD">
      <w:pPr>
        <w:numPr>
          <w:ilvl w:val="0"/>
          <w:numId w:val="2"/>
        </w:numPr>
        <w:spacing w:after="0"/>
        <w:rPr>
          <w:rFonts w:ascii="Arial" w:hAnsi="Arial" w:cs="Arial"/>
          <w:sz w:val="24"/>
          <w:szCs w:val="24"/>
        </w:rPr>
      </w:pPr>
      <w:r w:rsidRPr="001C00CD">
        <w:rPr>
          <w:rFonts w:ascii="Arial" w:hAnsi="Arial" w:cs="Arial"/>
          <w:sz w:val="24"/>
          <w:szCs w:val="24"/>
        </w:rPr>
        <w:t>exposure to a range of texts and contexts</w:t>
      </w:r>
    </w:p>
    <w:p w:rsidR="0044799D" w:rsidRPr="001C00CD" w:rsidRDefault="00533F47" w:rsidP="001C00CD">
      <w:pPr>
        <w:numPr>
          <w:ilvl w:val="0"/>
          <w:numId w:val="2"/>
        </w:numPr>
        <w:spacing w:after="0"/>
        <w:rPr>
          <w:rFonts w:ascii="Arial" w:hAnsi="Arial" w:cs="Arial"/>
          <w:sz w:val="24"/>
          <w:szCs w:val="24"/>
        </w:rPr>
      </w:pPr>
      <w:r w:rsidRPr="001C00CD">
        <w:rPr>
          <w:rFonts w:ascii="Arial" w:hAnsi="Arial" w:cs="Arial"/>
          <w:sz w:val="24"/>
          <w:szCs w:val="24"/>
        </w:rPr>
        <w:t>variety of purposes and audiences</w:t>
      </w:r>
    </w:p>
    <w:p w:rsidR="0044799D" w:rsidRPr="001C00CD" w:rsidRDefault="00533F47" w:rsidP="001C00CD">
      <w:pPr>
        <w:numPr>
          <w:ilvl w:val="0"/>
          <w:numId w:val="2"/>
        </w:numPr>
        <w:spacing w:after="0"/>
        <w:rPr>
          <w:rFonts w:ascii="Arial" w:hAnsi="Arial" w:cs="Arial"/>
          <w:sz w:val="24"/>
          <w:szCs w:val="24"/>
        </w:rPr>
      </w:pPr>
      <w:r w:rsidRPr="001C00CD">
        <w:rPr>
          <w:rFonts w:ascii="Arial" w:hAnsi="Arial" w:cs="Arial"/>
          <w:sz w:val="24"/>
          <w:szCs w:val="24"/>
        </w:rPr>
        <w:t>rhetorical genres, disciplinary conventions</w:t>
      </w:r>
    </w:p>
    <w:p w:rsidR="0044799D" w:rsidRPr="001C00CD" w:rsidRDefault="00533F47" w:rsidP="001C00CD">
      <w:pPr>
        <w:numPr>
          <w:ilvl w:val="0"/>
          <w:numId w:val="2"/>
        </w:numPr>
        <w:spacing w:after="0"/>
        <w:rPr>
          <w:rFonts w:ascii="Arial" w:hAnsi="Arial" w:cs="Arial"/>
          <w:sz w:val="24"/>
          <w:szCs w:val="24"/>
        </w:rPr>
      </w:pPr>
      <w:r w:rsidRPr="001C00CD">
        <w:rPr>
          <w:rFonts w:ascii="Arial" w:hAnsi="Arial" w:cs="Arial"/>
          <w:sz w:val="24"/>
          <w:szCs w:val="24"/>
        </w:rPr>
        <w:t>academic discourse, written and oral</w:t>
      </w:r>
    </w:p>
    <w:p w:rsidR="001C00CD" w:rsidRPr="001C00CD" w:rsidRDefault="001C00CD" w:rsidP="001C00CD">
      <w:pPr>
        <w:spacing w:after="0"/>
        <w:rPr>
          <w:rFonts w:ascii="Arial" w:hAnsi="Arial" w:cs="Arial"/>
          <w:sz w:val="24"/>
          <w:szCs w:val="24"/>
        </w:rPr>
      </w:pPr>
      <w:r w:rsidRPr="001C00CD">
        <w:rPr>
          <w:rFonts w:ascii="Arial" w:hAnsi="Arial" w:cs="Arial"/>
          <w:i/>
          <w:iCs/>
          <w:sz w:val="24"/>
          <w:szCs w:val="24"/>
        </w:rPr>
        <w:t>and</w:t>
      </w:r>
    </w:p>
    <w:p w:rsidR="0044799D" w:rsidRPr="001C00CD" w:rsidRDefault="00533F47" w:rsidP="001C00CD">
      <w:pPr>
        <w:numPr>
          <w:ilvl w:val="0"/>
          <w:numId w:val="3"/>
        </w:numPr>
        <w:spacing w:after="0"/>
        <w:rPr>
          <w:rFonts w:ascii="Arial" w:hAnsi="Arial" w:cs="Arial"/>
          <w:sz w:val="24"/>
          <w:szCs w:val="24"/>
        </w:rPr>
      </w:pPr>
      <w:r w:rsidRPr="001C00CD">
        <w:rPr>
          <w:rFonts w:ascii="Arial" w:hAnsi="Arial" w:cs="Arial"/>
          <w:sz w:val="24"/>
          <w:szCs w:val="24"/>
        </w:rPr>
        <w:t>enhance awareness of services and resources</w:t>
      </w:r>
    </w:p>
    <w:p w:rsidR="0044799D" w:rsidRPr="001C00CD" w:rsidRDefault="00533F47" w:rsidP="001C00CD">
      <w:pPr>
        <w:numPr>
          <w:ilvl w:val="0"/>
          <w:numId w:val="3"/>
        </w:numPr>
        <w:spacing w:after="0"/>
        <w:rPr>
          <w:rFonts w:ascii="Arial" w:hAnsi="Arial" w:cs="Arial"/>
          <w:sz w:val="24"/>
          <w:szCs w:val="24"/>
        </w:rPr>
      </w:pPr>
      <w:r w:rsidRPr="001C00CD">
        <w:rPr>
          <w:rFonts w:ascii="Arial" w:hAnsi="Arial" w:cs="Arial"/>
          <w:sz w:val="24"/>
          <w:szCs w:val="24"/>
        </w:rPr>
        <w:t>promote i</w:t>
      </w:r>
      <w:r w:rsidRPr="001C00CD">
        <w:rPr>
          <w:rFonts w:ascii="Arial" w:hAnsi="Arial" w:cs="Arial"/>
          <w:sz w:val="24"/>
          <w:szCs w:val="24"/>
        </w:rPr>
        <w:t>nteraction with staff and faculty</w:t>
      </w:r>
    </w:p>
    <w:p w:rsidR="001C00CD" w:rsidRDefault="001C00CD" w:rsidP="00FF4D22">
      <w:pPr>
        <w:spacing w:after="0"/>
        <w:rPr>
          <w:rFonts w:ascii="Arial" w:hAnsi="Arial" w:cs="Arial"/>
          <w:sz w:val="24"/>
          <w:szCs w:val="24"/>
        </w:rPr>
      </w:pPr>
    </w:p>
    <w:p w:rsidR="001C00CD" w:rsidRDefault="001C00CD" w:rsidP="00FF4D22">
      <w:pPr>
        <w:spacing w:after="0"/>
        <w:rPr>
          <w:rFonts w:ascii="Arial" w:hAnsi="Arial" w:cs="Arial"/>
          <w:sz w:val="24"/>
          <w:szCs w:val="24"/>
        </w:rPr>
      </w:pPr>
    </w:p>
    <w:p w:rsidR="001C00CD" w:rsidRDefault="001C00CD" w:rsidP="00FF4D22">
      <w:pPr>
        <w:spacing w:after="0"/>
        <w:rPr>
          <w:rFonts w:ascii="Arial" w:hAnsi="Arial" w:cs="Arial"/>
          <w:sz w:val="24"/>
          <w:szCs w:val="24"/>
        </w:rPr>
      </w:pPr>
      <w:r>
        <w:rPr>
          <w:rFonts w:ascii="Arial" w:hAnsi="Arial" w:cs="Arial"/>
          <w:sz w:val="24"/>
          <w:szCs w:val="24"/>
        </w:rPr>
        <w:t>On-campus field trips pedagogical benefits:</w:t>
      </w:r>
    </w:p>
    <w:p w:rsidR="0044799D" w:rsidRPr="001C00CD" w:rsidRDefault="00533F47" w:rsidP="001C00CD">
      <w:pPr>
        <w:numPr>
          <w:ilvl w:val="0"/>
          <w:numId w:val="4"/>
        </w:numPr>
        <w:spacing w:after="0"/>
        <w:rPr>
          <w:rFonts w:ascii="Arial" w:hAnsi="Arial" w:cs="Arial"/>
          <w:sz w:val="24"/>
          <w:szCs w:val="24"/>
        </w:rPr>
      </w:pPr>
      <w:r w:rsidRPr="001C00CD">
        <w:rPr>
          <w:rFonts w:ascii="Arial" w:hAnsi="Arial" w:cs="Arial"/>
          <w:sz w:val="24"/>
          <w:szCs w:val="24"/>
        </w:rPr>
        <w:t>lower affective filter</w:t>
      </w:r>
    </w:p>
    <w:p w:rsidR="0044799D" w:rsidRPr="001C00CD" w:rsidRDefault="00533F47" w:rsidP="001C00CD">
      <w:pPr>
        <w:numPr>
          <w:ilvl w:val="0"/>
          <w:numId w:val="4"/>
        </w:numPr>
        <w:spacing w:after="0"/>
        <w:rPr>
          <w:rFonts w:ascii="Arial" w:hAnsi="Arial" w:cs="Arial"/>
          <w:sz w:val="24"/>
          <w:szCs w:val="24"/>
        </w:rPr>
      </w:pPr>
      <w:r w:rsidRPr="001C00CD">
        <w:rPr>
          <w:rFonts w:ascii="Arial" w:hAnsi="Arial" w:cs="Arial"/>
          <w:sz w:val="24"/>
          <w:szCs w:val="24"/>
        </w:rPr>
        <w:t>increase student engagement, interaction and motivation</w:t>
      </w:r>
    </w:p>
    <w:p w:rsidR="0044799D" w:rsidRPr="001C00CD" w:rsidRDefault="00533F47" w:rsidP="001C00CD">
      <w:pPr>
        <w:numPr>
          <w:ilvl w:val="0"/>
          <w:numId w:val="4"/>
        </w:numPr>
        <w:spacing w:after="0"/>
        <w:rPr>
          <w:rFonts w:ascii="Arial" w:hAnsi="Arial" w:cs="Arial"/>
          <w:sz w:val="24"/>
          <w:szCs w:val="24"/>
        </w:rPr>
      </w:pPr>
      <w:r w:rsidRPr="001C00CD">
        <w:rPr>
          <w:rFonts w:ascii="Arial" w:hAnsi="Arial" w:cs="Arial"/>
          <w:sz w:val="24"/>
          <w:szCs w:val="24"/>
        </w:rPr>
        <w:t>support composition assignments - personal, academic, and professional</w:t>
      </w:r>
    </w:p>
    <w:p w:rsidR="0044799D" w:rsidRPr="001C00CD" w:rsidRDefault="00533F47" w:rsidP="001C00CD">
      <w:pPr>
        <w:numPr>
          <w:ilvl w:val="0"/>
          <w:numId w:val="4"/>
        </w:numPr>
        <w:spacing w:after="0"/>
        <w:rPr>
          <w:rFonts w:ascii="Arial" w:hAnsi="Arial" w:cs="Arial"/>
          <w:sz w:val="24"/>
          <w:szCs w:val="24"/>
        </w:rPr>
      </w:pPr>
      <w:r w:rsidRPr="001C00CD">
        <w:rPr>
          <w:rFonts w:ascii="Arial" w:hAnsi="Arial" w:cs="Arial"/>
          <w:sz w:val="24"/>
          <w:szCs w:val="24"/>
        </w:rPr>
        <w:t xml:space="preserve">experience rhetorical </w:t>
      </w:r>
      <w:r w:rsidRPr="001C00CD">
        <w:rPr>
          <w:rFonts w:ascii="Arial" w:hAnsi="Arial" w:cs="Arial"/>
          <w:sz w:val="24"/>
          <w:szCs w:val="24"/>
        </w:rPr>
        <w:t>triangle appeals</w:t>
      </w:r>
    </w:p>
    <w:p w:rsidR="001C00CD" w:rsidRDefault="001C00CD" w:rsidP="00FF4D22">
      <w:pPr>
        <w:spacing w:after="0"/>
        <w:rPr>
          <w:rFonts w:ascii="Arial" w:hAnsi="Arial" w:cs="Arial"/>
          <w:sz w:val="24"/>
          <w:szCs w:val="24"/>
        </w:rPr>
      </w:pPr>
    </w:p>
    <w:p w:rsidR="001C00CD" w:rsidRDefault="001C00CD" w:rsidP="00FF4D22">
      <w:pPr>
        <w:spacing w:after="0"/>
        <w:rPr>
          <w:rFonts w:ascii="Arial" w:hAnsi="Arial" w:cs="Arial"/>
          <w:sz w:val="24"/>
          <w:szCs w:val="24"/>
        </w:rPr>
      </w:pPr>
      <w:r>
        <w:rPr>
          <w:rFonts w:ascii="Arial" w:hAnsi="Arial" w:cs="Arial"/>
          <w:sz w:val="24"/>
          <w:szCs w:val="24"/>
        </w:rPr>
        <w:t>Assignments</w:t>
      </w:r>
    </w:p>
    <w:p w:rsidR="001C00CD" w:rsidRDefault="001C00CD" w:rsidP="00FF4D22">
      <w:pPr>
        <w:spacing w:after="0"/>
        <w:rPr>
          <w:rFonts w:ascii="Arial" w:hAnsi="Arial" w:cs="Arial"/>
          <w:iCs/>
          <w:sz w:val="24"/>
          <w:szCs w:val="24"/>
        </w:rPr>
      </w:pPr>
      <w:r>
        <w:rPr>
          <w:rFonts w:ascii="Arial" w:hAnsi="Arial" w:cs="Arial"/>
          <w:sz w:val="24"/>
          <w:szCs w:val="24"/>
        </w:rPr>
        <w:t xml:space="preserve">Visual Rhetorical Analysis - Field Trip: </w:t>
      </w:r>
      <w:r w:rsidRPr="001C00CD">
        <w:rPr>
          <w:rFonts w:ascii="Arial" w:hAnsi="Arial" w:cs="Arial"/>
          <w:sz w:val="24"/>
          <w:szCs w:val="24"/>
        </w:rPr>
        <w:t>Campus Tour</w:t>
      </w:r>
      <w:r>
        <w:rPr>
          <w:rFonts w:ascii="Arial" w:hAnsi="Arial" w:cs="Arial"/>
          <w:sz w:val="24"/>
          <w:szCs w:val="24"/>
        </w:rPr>
        <w:t xml:space="preserve">, </w:t>
      </w:r>
      <w:r w:rsidRPr="001C00CD">
        <w:rPr>
          <w:rFonts w:ascii="Arial" w:hAnsi="Arial" w:cs="Arial"/>
          <w:sz w:val="24"/>
          <w:szCs w:val="24"/>
        </w:rPr>
        <w:t>including</w:t>
      </w:r>
      <w:r>
        <w:rPr>
          <w:rFonts w:ascii="Arial" w:hAnsi="Arial" w:cs="Arial"/>
          <w:sz w:val="24"/>
          <w:szCs w:val="24"/>
        </w:rPr>
        <w:t xml:space="preserve"> </w:t>
      </w:r>
      <w:r w:rsidRPr="001C00CD">
        <w:rPr>
          <w:rFonts w:ascii="Arial" w:hAnsi="Arial" w:cs="Arial"/>
          <w:sz w:val="24"/>
          <w:szCs w:val="24"/>
        </w:rPr>
        <w:t xml:space="preserve">University archives, art gallery, public noticeboards, building exteriors, Chapel, signage, landscaping, </w:t>
      </w:r>
      <w:r w:rsidRPr="001C00CD">
        <w:rPr>
          <w:rFonts w:ascii="Arial" w:hAnsi="Arial" w:cs="Arial"/>
          <w:i/>
          <w:iCs/>
          <w:sz w:val="24"/>
          <w:szCs w:val="24"/>
        </w:rPr>
        <w:t>et al.</w:t>
      </w:r>
    </w:p>
    <w:p w:rsidR="001C00CD" w:rsidRDefault="001C00CD" w:rsidP="00FF4D22">
      <w:pPr>
        <w:spacing w:after="0"/>
        <w:rPr>
          <w:rFonts w:ascii="Arial" w:hAnsi="Arial" w:cs="Arial"/>
          <w:sz w:val="24"/>
          <w:szCs w:val="24"/>
        </w:rPr>
      </w:pPr>
      <w:r>
        <w:rPr>
          <w:rFonts w:ascii="Arial" w:hAnsi="Arial" w:cs="Arial"/>
          <w:sz w:val="24"/>
          <w:szCs w:val="24"/>
        </w:rPr>
        <w:t xml:space="preserve">Traditional Rhetorical Analysis: </w:t>
      </w:r>
      <w:r w:rsidRPr="001C00CD">
        <w:rPr>
          <w:rFonts w:ascii="Arial" w:hAnsi="Arial" w:cs="Arial"/>
          <w:sz w:val="24"/>
          <w:szCs w:val="24"/>
        </w:rPr>
        <w:t>Research Project</w:t>
      </w:r>
      <w:r>
        <w:rPr>
          <w:rFonts w:ascii="Arial" w:hAnsi="Arial" w:cs="Arial"/>
          <w:sz w:val="24"/>
          <w:szCs w:val="24"/>
        </w:rPr>
        <w:t xml:space="preserve"> - Field Trip: Library Presentation and Tour</w:t>
      </w:r>
    </w:p>
    <w:p w:rsidR="001C00CD" w:rsidRDefault="001C00CD" w:rsidP="001C00CD">
      <w:pPr>
        <w:spacing w:after="0"/>
        <w:rPr>
          <w:rFonts w:ascii="Arial" w:hAnsi="Arial" w:cs="Arial"/>
          <w:sz w:val="24"/>
          <w:szCs w:val="24"/>
        </w:rPr>
      </w:pPr>
      <w:r w:rsidRPr="001C00CD">
        <w:rPr>
          <w:rFonts w:ascii="Arial" w:hAnsi="Arial" w:cs="Arial"/>
          <w:sz w:val="24"/>
          <w:szCs w:val="24"/>
        </w:rPr>
        <w:t>Research in Professional Writing: Rhetorical Analysis of Writing in the Professional Field of Interest</w:t>
      </w:r>
      <w:r>
        <w:rPr>
          <w:rFonts w:ascii="Arial" w:hAnsi="Arial" w:cs="Arial"/>
          <w:sz w:val="24"/>
          <w:szCs w:val="24"/>
        </w:rPr>
        <w:t xml:space="preserve"> – Field Trip: </w:t>
      </w:r>
      <w:r w:rsidRPr="001C00CD">
        <w:rPr>
          <w:rFonts w:ascii="Arial" w:hAnsi="Arial" w:cs="Arial"/>
          <w:sz w:val="24"/>
          <w:szCs w:val="24"/>
        </w:rPr>
        <w:t>Career Center and #</w:t>
      </w:r>
      <w:proofErr w:type="spellStart"/>
      <w:r w:rsidRPr="001C00CD">
        <w:rPr>
          <w:rFonts w:ascii="Arial" w:hAnsi="Arial" w:cs="Arial"/>
          <w:sz w:val="24"/>
          <w:szCs w:val="24"/>
        </w:rPr>
        <w:t>theVIBE</w:t>
      </w:r>
      <w:proofErr w:type="spellEnd"/>
      <w:r w:rsidRPr="001C00CD">
        <w:rPr>
          <w:rFonts w:ascii="Arial" w:hAnsi="Arial" w:cs="Arial"/>
          <w:sz w:val="24"/>
          <w:szCs w:val="24"/>
        </w:rPr>
        <w:t xml:space="preserve"> Social Media Center of Expertise with Presentations</w:t>
      </w:r>
    </w:p>
    <w:p w:rsidR="001C00CD" w:rsidRDefault="001C00CD" w:rsidP="001C00CD">
      <w:pPr>
        <w:spacing w:after="0"/>
        <w:rPr>
          <w:rFonts w:ascii="Arial" w:hAnsi="Arial" w:cs="Arial"/>
          <w:sz w:val="24"/>
          <w:szCs w:val="24"/>
        </w:rPr>
      </w:pPr>
    </w:p>
    <w:p w:rsidR="001C00CD" w:rsidRPr="001C00CD" w:rsidRDefault="001C00CD" w:rsidP="001C00CD">
      <w:pPr>
        <w:spacing w:after="0"/>
        <w:rPr>
          <w:rFonts w:ascii="Arial" w:hAnsi="Arial" w:cs="Arial"/>
          <w:sz w:val="24"/>
          <w:szCs w:val="24"/>
        </w:rPr>
      </w:pPr>
      <w:r>
        <w:rPr>
          <w:rFonts w:ascii="Arial" w:hAnsi="Arial" w:cs="Arial"/>
          <w:sz w:val="24"/>
          <w:szCs w:val="24"/>
        </w:rPr>
        <w:t xml:space="preserve">Suggestions: </w:t>
      </w:r>
      <w:r>
        <w:rPr>
          <w:rFonts w:ascii="Arial" w:hAnsi="Arial" w:cs="Arial"/>
          <w:sz w:val="24"/>
          <w:szCs w:val="24"/>
        </w:rPr>
        <w:tab/>
      </w:r>
      <w:r w:rsidRPr="001C00CD">
        <w:rPr>
          <w:rFonts w:ascii="Arial" w:hAnsi="Arial" w:cs="Arial"/>
          <w:sz w:val="24"/>
          <w:szCs w:val="24"/>
        </w:rPr>
        <w:t>consider options</w:t>
      </w:r>
    </w:p>
    <w:p w:rsidR="001C00CD" w:rsidRPr="001C00CD" w:rsidRDefault="001C00CD" w:rsidP="001C00CD">
      <w:pPr>
        <w:spacing w:after="0"/>
        <w:ind w:left="1440" w:firstLine="720"/>
        <w:rPr>
          <w:rFonts w:ascii="Arial" w:hAnsi="Arial" w:cs="Arial"/>
          <w:sz w:val="24"/>
          <w:szCs w:val="24"/>
        </w:rPr>
      </w:pPr>
      <w:r w:rsidRPr="001C00CD">
        <w:rPr>
          <w:rFonts w:ascii="Arial" w:hAnsi="Arial" w:cs="Arial"/>
          <w:sz w:val="24"/>
          <w:szCs w:val="24"/>
        </w:rPr>
        <w:t>make explicit connections to assignments</w:t>
      </w:r>
    </w:p>
    <w:p w:rsidR="001C00CD" w:rsidRPr="001C00CD" w:rsidRDefault="001C00CD" w:rsidP="001C00CD">
      <w:pPr>
        <w:spacing w:after="0"/>
        <w:ind w:left="1440" w:firstLine="720"/>
        <w:rPr>
          <w:rFonts w:ascii="Arial" w:hAnsi="Arial" w:cs="Arial"/>
          <w:sz w:val="24"/>
          <w:szCs w:val="24"/>
        </w:rPr>
      </w:pPr>
      <w:r w:rsidRPr="001C00CD">
        <w:rPr>
          <w:rFonts w:ascii="Arial" w:hAnsi="Arial" w:cs="Arial"/>
          <w:sz w:val="24"/>
          <w:szCs w:val="24"/>
        </w:rPr>
        <w:t>plan well in advance</w:t>
      </w:r>
    </w:p>
    <w:p w:rsidR="001C00CD" w:rsidRPr="001C00CD" w:rsidRDefault="001C00CD" w:rsidP="001C00CD">
      <w:pPr>
        <w:spacing w:after="0"/>
        <w:ind w:left="1440" w:firstLine="720"/>
        <w:rPr>
          <w:rFonts w:ascii="Arial" w:hAnsi="Arial" w:cs="Arial"/>
          <w:sz w:val="24"/>
          <w:szCs w:val="24"/>
        </w:rPr>
      </w:pPr>
      <w:r w:rsidRPr="001C00CD">
        <w:rPr>
          <w:rFonts w:ascii="Arial" w:hAnsi="Arial" w:cs="Arial"/>
          <w:sz w:val="24"/>
          <w:szCs w:val="24"/>
        </w:rPr>
        <w:t>provide clear expectations to collaborators, including the related assignment</w:t>
      </w:r>
    </w:p>
    <w:p w:rsidR="001C00CD" w:rsidRPr="001C00CD" w:rsidRDefault="001C00CD" w:rsidP="001C00CD">
      <w:pPr>
        <w:spacing w:after="0"/>
        <w:ind w:left="1440" w:firstLine="720"/>
        <w:rPr>
          <w:rFonts w:ascii="Arial" w:hAnsi="Arial" w:cs="Arial"/>
          <w:sz w:val="24"/>
          <w:szCs w:val="24"/>
        </w:rPr>
      </w:pPr>
      <w:r w:rsidRPr="001C00CD">
        <w:rPr>
          <w:rFonts w:ascii="Arial" w:hAnsi="Arial" w:cs="Arial"/>
          <w:sz w:val="24"/>
          <w:szCs w:val="24"/>
        </w:rPr>
        <w:t>clarify expectations of students when out in the field</w:t>
      </w:r>
    </w:p>
    <w:sectPr w:rsidR="001C00CD" w:rsidRPr="001C00CD" w:rsidSect="00AB16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9E2"/>
    <w:multiLevelType w:val="hybridMultilevel"/>
    <w:tmpl w:val="E0A6DD50"/>
    <w:lvl w:ilvl="0" w:tplc="DF30C6A2">
      <w:start w:val="1"/>
      <w:numFmt w:val="bullet"/>
      <w:lvlText w:val="•"/>
      <w:lvlJc w:val="left"/>
      <w:pPr>
        <w:tabs>
          <w:tab w:val="num" w:pos="720"/>
        </w:tabs>
        <w:ind w:left="720" w:hanging="360"/>
      </w:pPr>
      <w:rPr>
        <w:rFonts w:ascii="Arial" w:hAnsi="Arial" w:hint="default"/>
      </w:rPr>
    </w:lvl>
    <w:lvl w:ilvl="1" w:tplc="BB90F440" w:tentative="1">
      <w:start w:val="1"/>
      <w:numFmt w:val="bullet"/>
      <w:lvlText w:val="•"/>
      <w:lvlJc w:val="left"/>
      <w:pPr>
        <w:tabs>
          <w:tab w:val="num" w:pos="1440"/>
        </w:tabs>
        <w:ind w:left="1440" w:hanging="360"/>
      </w:pPr>
      <w:rPr>
        <w:rFonts w:ascii="Arial" w:hAnsi="Arial" w:hint="default"/>
      </w:rPr>
    </w:lvl>
    <w:lvl w:ilvl="2" w:tplc="BBBA7EF4" w:tentative="1">
      <w:start w:val="1"/>
      <w:numFmt w:val="bullet"/>
      <w:lvlText w:val="•"/>
      <w:lvlJc w:val="left"/>
      <w:pPr>
        <w:tabs>
          <w:tab w:val="num" w:pos="2160"/>
        </w:tabs>
        <w:ind w:left="2160" w:hanging="360"/>
      </w:pPr>
      <w:rPr>
        <w:rFonts w:ascii="Arial" w:hAnsi="Arial" w:hint="default"/>
      </w:rPr>
    </w:lvl>
    <w:lvl w:ilvl="3" w:tplc="BD9A3E9C" w:tentative="1">
      <w:start w:val="1"/>
      <w:numFmt w:val="bullet"/>
      <w:lvlText w:val="•"/>
      <w:lvlJc w:val="left"/>
      <w:pPr>
        <w:tabs>
          <w:tab w:val="num" w:pos="2880"/>
        </w:tabs>
        <w:ind w:left="2880" w:hanging="360"/>
      </w:pPr>
      <w:rPr>
        <w:rFonts w:ascii="Arial" w:hAnsi="Arial" w:hint="default"/>
      </w:rPr>
    </w:lvl>
    <w:lvl w:ilvl="4" w:tplc="62D61850" w:tentative="1">
      <w:start w:val="1"/>
      <w:numFmt w:val="bullet"/>
      <w:lvlText w:val="•"/>
      <w:lvlJc w:val="left"/>
      <w:pPr>
        <w:tabs>
          <w:tab w:val="num" w:pos="3600"/>
        </w:tabs>
        <w:ind w:left="3600" w:hanging="360"/>
      </w:pPr>
      <w:rPr>
        <w:rFonts w:ascii="Arial" w:hAnsi="Arial" w:hint="default"/>
      </w:rPr>
    </w:lvl>
    <w:lvl w:ilvl="5" w:tplc="2780D20C" w:tentative="1">
      <w:start w:val="1"/>
      <w:numFmt w:val="bullet"/>
      <w:lvlText w:val="•"/>
      <w:lvlJc w:val="left"/>
      <w:pPr>
        <w:tabs>
          <w:tab w:val="num" w:pos="4320"/>
        </w:tabs>
        <w:ind w:left="4320" w:hanging="360"/>
      </w:pPr>
      <w:rPr>
        <w:rFonts w:ascii="Arial" w:hAnsi="Arial" w:hint="default"/>
      </w:rPr>
    </w:lvl>
    <w:lvl w:ilvl="6" w:tplc="A33E09BE" w:tentative="1">
      <w:start w:val="1"/>
      <w:numFmt w:val="bullet"/>
      <w:lvlText w:val="•"/>
      <w:lvlJc w:val="left"/>
      <w:pPr>
        <w:tabs>
          <w:tab w:val="num" w:pos="5040"/>
        </w:tabs>
        <w:ind w:left="5040" w:hanging="360"/>
      </w:pPr>
      <w:rPr>
        <w:rFonts w:ascii="Arial" w:hAnsi="Arial" w:hint="default"/>
      </w:rPr>
    </w:lvl>
    <w:lvl w:ilvl="7" w:tplc="437EA004" w:tentative="1">
      <w:start w:val="1"/>
      <w:numFmt w:val="bullet"/>
      <w:lvlText w:val="•"/>
      <w:lvlJc w:val="left"/>
      <w:pPr>
        <w:tabs>
          <w:tab w:val="num" w:pos="5760"/>
        </w:tabs>
        <w:ind w:left="5760" w:hanging="360"/>
      </w:pPr>
      <w:rPr>
        <w:rFonts w:ascii="Arial" w:hAnsi="Arial" w:hint="default"/>
      </w:rPr>
    </w:lvl>
    <w:lvl w:ilvl="8" w:tplc="62501B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F0F267B"/>
    <w:multiLevelType w:val="hybridMultilevel"/>
    <w:tmpl w:val="FEA6E016"/>
    <w:lvl w:ilvl="0" w:tplc="506A6A34">
      <w:start w:val="1"/>
      <w:numFmt w:val="bullet"/>
      <w:lvlText w:val="•"/>
      <w:lvlJc w:val="left"/>
      <w:pPr>
        <w:tabs>
          <w:tab w:val="num" w:pos="720"/>
        </w:tabs>
        <w:ind w:left="720" w:hanging="360"/>
      </w:pPr>
      <w:rPr>
        <w:rFonts w:ascii="Arial" w:hAnsi="Arial" w:hint="default"/>
      </w:rPr>
    </w:lvl>
    <w:lvl w:ilvl="1" w:tplc="C4C8E356" w:tentative="1">
      <w:start w:val="1"/>
      <w:numFmt w:val="bullet"/>
      <w:lvlText w:val="•"/>
      <w:lvlJc w:val="left"/>
      <w:pPr>
        <w:tabs>
          <w:tab w:val="num" w:pos="1440"/>
        </w:tabs>
        <w:ind w:left="1440" w:hanging="360"/>
      </w:pPr>
      <w:rPr>
        <w:rFonts w:ascii="Arial" w:hAnsi="Arial" w:hint="default"/>
      </w:rPr>
    </w:lvl>
    <w:lvl w:ilvl="2" w:tplc="15BC4AD6" w:tentative="1">
      <w:start w:val="1"/>
      <w:numFmt w:val="bullet"/>
      <w:lvlText w:val="•"/>
      <w:lvlJc w:val="left"/>
      <w:pPr>
        <w:tabs>
          <w:tab w:val="num" w:pos="2160"/>
        </w:tabs>
        <w:ind w:left="2160" w:hanging="360"/>
      </w:pPr>
      <w:rPr>
        <w:rFonts w:ascii="Arial" w:hAnsi="Arial" w:hint="default"/>
      </w:rPr>
    </w:lvl>
    <w:lvl w:ilvl="3" w:tplc="625C0058" w:tentative="1">
      <w:start w:val="1"/>
      <w:numFmt w:val="bullet"/>
      <w:lvlText w:val="•"/>
      <w:lvlJc w:val="left"/>
      <w:pPr>
        <w:tabs>
          <w:tab w:val="num" w:pos="2880"/>
        </w:tabs>
        <w:ind w:left="2880" w:hanging="360"/>
      </w:pPr>
      <w:rPr>
        <w:rFonts w:ascii="Arial" w:hAnsi="Arial" w:hint="default"/>
      </w:rPr>
    </w:lvl>
    <w:lvl w:ilvl="4" w:tplc="92288EEE" w:tentative="1">
      <w:start w:val="1"/>
      <w:numFmt w:val="bullet"/>
      <w:lvlText w:val="•"/>
      <w:lvlJc w:val="left"/>
      <w:pPr>
        <w:tabs>
          <w:tab w:val="num" w:pos="3600"/>
        </w:tabs>
        <w:ind w:left="3600" w:hanging="360"/>
      </w:pPr>
      <w:rPr>
        <w:rFonts w:ascii="Arial" w:hAnsi="Arial" w:hint="default"/>
      </w:rPr>
    </w:lvl>
    <w:lvl w:ilvl="5" w:tplc="BAD4F4F2" w:tentative="1">
      <w:start w:val="1"/>
      <w:numFmt w:val="bullet"/>
      <w:lvlText w:val="•"/>
      <w:lvlJc w:val="left"/>
      <w:pPr>
        <w:tabs>
          <w:tab w:val="num" w:pos="4320"/>
        </w:tabs>
        <w:ind w:left="4320" w:hanging="360"/>
      </w:pPr>
      <w:rPr>
        <w:rFonts w:ascii="Arial" w:hAnsi="Arial" w:hint="default"/>
      </w:rPr>
    </w:lvl>
    <w:lvl w:ilvl="6" w:tplc="76A052A2" w:tentative="1">
      <w:start w:val="1"/>
      <w:numFmt w:val="bullet"/>
      <w:lvlText w:val="•"/>
      <w:lvlJc w:val="left"/>
      <w:pPr>
        <w:tabs>
          <w:tab w:val="num" w:pos="5040"/>
        </w:tabs>
        <w:ind w:left="5040" w:hanging="360"/>
      </w:pPr>
      <w:rPr>
        <w:rFonts w:ascii="Arial" w:hAnsi="Arial" w:hint="default"/>
      </w:rPr>
    </w:lvl>
    <w:lvl w:ilvl="7" w:tplc="A3C8C28C" w:tentative="1">
      <w:start w:val="1"/>
      <w:numFmt w:val="bullet"/>
      <w:lvlText w:val="•"/>
      <w:lvlJc w:val="left"/>
      <w:pPr>
        <w:tabs>
          <w:tab w:val="num" w:pos="5760"/>
        </w:tabs>
        <w:ind w:left="5760" w:hanging="360"/>
      </w:pPr>
      <w:rPr>
        <w:rFonts w:ascii="Arial" w:hAnsi="Arial" w:hint="default"/>
      </w:rPr>
    </w:lvl>
    <w:lvl w:ilvl="8" w:tplc="14601D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3C4800"/>
    <w:multiLevelType w:val="hybridMultilevel"/>
    <w:tmpl w:val="F76ED790"/>
    <w:lvl w:ilvl="0" w:tplc="6FCEA012">
      <w:start w:val="1"/>
      <w:numFmt w:val="decimal"/>
      <w:lvlText w:val="%1."/>
      <w:lvlJc w:val="left"/>
      <w:pPr>
        <w:tabs>
          <w:tab w:val="num" w:pos="720"/>
        </w:tabs>
        <w:ind w:left="720" w:hanging="360"/>
      </w:pPr>
    </w:lvl>
    <w:lvl w:ilvl="1" w:tplc="81087634" w:tentative="1">
      <w:start w:val="1"/>
      <w:numFmt w:val="decimal"/>
      <w:lvlText w:val="%2."/>
      <w:lvlJc w:val="left"/>
      <w:pPr>
        <w:tabs>
          <w:tab w:val="num" w:pos="1440"/>
        </w:tabs>
        <w:ind w:left="1440" w:hanging="360"/>
      </w:pPr>
    </w:lvl>
    <w:lvl w:ilvl="2" w:tplc="0A66587C" w:tentative="1">
      <w:start w:val="1"/>
      <w:numFmt w:val="decimal"/>
      <w:lvlText w:val="%3."/>
      <w:lvlJc w:val="left"/>
      <w:pPr>
        <w:tabs>
          <w:tab w:val="num" w:pos="2160"/>
        </w:tabs>
        <w:ind w:left="2160" w:hanging="360"/>
      </w:pPr>
    </w:lvl>
    <w:lvl w:ilvl="3" w:tplc="188C1E1E" w:tentative="1">
      <w:start w:val="1"/>
      <w:numFmt w:val="decimal"/>
      <w:lvlText w:val="%4."/>
      <w:lvlJc w:val="left"/>
      <w:pPr>
        <w:tabs>
          <w:tab w:val="num" w:pos="2880"/>
        </w:tabs>
        <w:ind w:left="2880" w:hanging="360"/>
      </w:pPr>
    </w:lvl>
    <w:lvl w:ilvl="4" w:tplc="CFB84906" w:tentative="1">
      <w:start w:val="1"/>
      <w:numFmt w:val="decimal"/>
      <w:lvlText w:val="%5."/>
      <w:lvlJc w:val="left"/>
      <w:pPr>
        <w:tabs>
          <w:tab w:val="num" w:pos="3600"/>
        </w:tabs>
        <w:ind w:left="3600" w:hanging="360"/>
      </w:pPr>
    </w:lvl>
    <w:lvl w:ilvl="5" w:tplc="D9DA3672" w:tentative="1">
      <w:start w:val="1"/>
      <w:numFmt w:val="decimal"/>
      <w:lvlText w:val="%6."/>
      <w:lvlJc w:val="left"/>
      <w:pPr>
        <w:tabs>
          <w:tab w:val="num" w:pos="4320"/>
        </w:tabs>
        <w:ind w:left="4320" w:hanging="360"/>
      </w:pPr>
    </w:lvl>
    <w:lvl w:ilvl="6" w:tplc="09F8AF50" w:tentative="1">
      <w:start w:val="1"/>
      <w:numFmt w:val="decimal"/>
      <w:lvlText w:val="%7."/>
      <w:lvlJc w:val="left"/>
      <w:pPr>
        <w:tabs>
          <w:tab w:val="num" w:pos="5040"/>
        </w:tabs>
        <w:ind w:left="5040" w:hanging="360"/>
      </w:pPr>
    </w:lvl>
    <w:lvl w:ilvl="7" w:tplc="076C31FE" w:tentative="1">
      <w:start w:val="1"/>
      <w:numFmt w:val="decimal"/>
      <w:lvlText w:val="%8."/>
      <w:lvlJc w:val="left"/>
      <w:pPr>
        <w:tabs>
          <w:tab w:val="num" w:pos="5760"/>
        </w:tabs>
        <w:ind w:left="5760" w:hanging="360"/>
      </w:pPr>
    </w:lvl>
    <w:lvl w:ilvl="8" w:tplc="58308028" w:tentative="1">
      <w:start w:val="1"/>
      <w:numFmt w:val="decimal"/>
      <w:lvlText w:val="%9."/>
      <w:lvlJc w:val="left"/>
      <w:pPr>
        <w:tabs>
          <w:tab w:val="num" w:pos="6480"/>
        </w:tabs>
        <w:ind w:left="6480" w:hanging="360"/>
      </w:pPr>
    </w:lvl>
  </w:abstractNum>
  <w:abstractNum w:abstractNumId="3" w15:restartNumberingAfterBreak="0">
    <w:nsid w:val="76451437"/>
    <w:multiLevelType w:val="hybridMultilevel"/>
    <w:tmpl w:val="48D46692"/>
    <w:lvl w:ilvl="0" w:tplc="6F1C2154">
      <w:start w:val="1"/>
      <w:numFmt w:val="bullet"/>
      <w:lvlText w:val="•"/>
      <w:lvlJc w:val="left"/>
      <w:pPr>
        <w:tabs>
          <w:tab w:val="num" w:pos="720"/>
        </w:tabs>
        <w:ind w:left="720" w:hanging="360"/>
      </w:pPr>
      <w:rPr>
        <w:rFonts w:ascii="Arial" w:hAnsi="Arial" w:hint="default"/>
      </w:rPr>
    </w:lvl>
    <w:lvl w:ilvl="1" w:tplc="E3F4C194" w:tentative="1">
      <w:start w:val="1"/>
      <w:numFmt w:val="bullet"/>
      <w:lvlText w:val="•"/>
      <w:lvlJc w:val="left"/>
      <w:pPr>
        <w:tabs>
          <w:tab w:val="num" w:pos="1440"/>
        </w:tabs>
        <w:ind w:left="1440" w:hanging="360"/>
      </w:pPr>
      <w:rPr>
        <w:rFonts w:ascii="Arial" w:hAnsi="Arial" w:hint="default"/>
      </w:rPr>
    </w:lvl>
    <w:lvl w:ilvl="2" w:tplc="BF885354" w:tentative="1">
      <w:start w:val="1"/>
      <w:numFmt w:val="bullet"/>
      <w:lvlText w:val="•"/>
      <w:lvlJc w:val="left"/>
      <w:pPr>
        <w:tabs>
          <w:tab w:val="num" w:pos="2160"/>
        </w:tabs>
        <w:ind w:left="2160" w:hanging="360"/>
      </w:pPr>
      <w:rPr>
        <w:rFonts w:ascii="Arial" w:hAnsi="Arial" w:hint="default"/>
      </w:rPr>
    </w:lvl>
    <w:lvl w:ilvl="3" w:tplc="12CA3ADE" w:tentative="1">
      <w:start w:val="1"/>
      <w:numFmt w:val="bullet"/>
      <w:lvlText w:val="•"/>
      <w:lvlJc w:val="left"/>
      <w:pPr>
        <w:tabs>
          <w:tab w:val="num" w:pos="2880"/>
        </w:tabs>
        <w:ind w:left="2880" w:hanging="360"/>
      </w:pPr>
      <w:rPr>
        <w:rFonts w:ascii="Arial" w:hAnsi="Arial" w:hint="default"/>
      </w:rPr>
    </w:lvl>
    <w:lvl w:ilvl="4" w:tplc="AE8CDA26" w:tentative="1">
      <w:start w:val="1"/>
      <w:numFmt w:val="bullet"/>
      <w:lvlText w:val="•"/>
      <w:lvlJc w:val="left"/>
      <w:pPr>
        <w:tabs>
          <w:tab w:val="num" w:pos="3600"/>
        </w:tabs>
        <w:ind w:left="3600" w:hanging="360"/>
      </w:pPr>
      <w:rPr>
        <w:rFonts w:ascii="Arial" w:hAnsi="Arial" w:hint="default"/>
      </w:rPr>
    </w:lvl>
    <w:lvl w:ilvl="5" w:tplc="5C549244" w:tentative="1">
      <w:start w:val="1"/>
      <w:numFmt w:val="bullet"/>
      <w:lvlText w:val="•"/>
      <w:lvlJc w:val="left"/>
      <w:pPr>
        <w:tabs>
          <w:tab w:val="num" w:pos="4320"/>
        </w:tabs>
        <w:ind w:left="4320" w:hanging="360"/>
      </w:pPr>
      <w:rPr>
        <w:rFonts w:ascii="Arial" w:hAnsi="Arial" w:hint="default"/>
      </w:rPr>
    </w:lvl>
    <w:lvl w:ilvl="6" w:tplc="DED4F4D8" w:tentative="1">
      <w:start w:val="1"/>
      <w:numFmt w:val="bullet"/>
      <w:lvlText w:val="•"/>
      <w:lvlJc w:val="left"/>
      <w:pPr>
        <w:tabs>
          <w:tab w:val="num" w:pos="5040"/>
        </w:tabs>
        <w:ind w:left="5040" w:hanging="360"/>
      </w:pPr>
      <w:rPr>
        <w:rFonts w:ascii="Arial" w:hAnsi="Arial" w:hint="default"/>
      </w:rPr>
    </w:lvl>
    <w:lvl w:ilvl="7" w:tplc="CB448B2A" w:tentative="1">
      <w:start w:val="1"/>
      <w:numFmt w:val="bullet"/>
      <w:lvlText w:val="•"/>
      <w:lvlJc w:val="left"/>
      <w:pPr>
        <w:tabs>
          <w:tab w:val="num" w:pos="5760"/>
        </w:tabs>
        <w:ind w:left="5760" w:hanging="360"/>
      </w:pPr>
      <w:rPr>
        <w:rFonts w:ascii="Arial" w:hAnsi="Arial" w:hint="default"/>
      </w:rPr>
    </w:lvl>
    <w:lvl w:ilvl="8" w:tplc="658AD09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71"/>
    <w:rsid w:val="000E416C"/>
    <w:rsid w:val="001C00CD"/>
    <w:rsid w:val="0044799D"/>
    <w:rsid w:val="00533F47"/>
    <w:rsid w:val="006157E6"/>
    <w:rsid w:val="006A1FB4"/>
    <w:rsid w:val="00723F3E"/>
    <w:rsid w:val="00AB1671"/>
    <w:rsid w:val="00E37018"/>
    <w:rsid w:val="00F5016C"/>
    <w:rsid w:val="00FF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AAC80-CF3E-4CD8-B41E-945EC905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699">
      <w:bodyDiv w:val="1"/>
      <w:marLeft w:val="0"/>
      <w:marRight w:val="0"/>
      <w:marTop w:val="0"/>
      <w:marBottom w:val="0"/>
      <w:divBdr>
        <w:top w:val="none" w:sz="0" w:space="0" w:color="auto"/>
        <w:left w:val="none" w:sz="0" w:space="0" w:color="auto"/>
        <w:bottom w:val="none" w:sz="0" w:space="0" w:color="auto"/>
        <w:right w:val="none" w:sz="0" w:space="0" w:color="auto"/>
      </w:divBdr>
    </w:div>
    <w:div w:id="39522235">
      <w:bodyDiv w:val="1"/>
      <w:marLeft w:val="0"/>
      <w:marRight w:val="0"/>
      <w:marTop w:val="0"/>
      <w:marBottom w:val="0"/>
      <w:divBdr>
        <w:top w:val="none" w:sz="0" w:space="0" w:color="auto"/>
        <w:left w:val="none" w:sz="0" w:space="0" w:color="auto"/>
        <w:bottom w:val="none" w:sz="0" w:space="0" w:color="auto"/>
        <w:right w:val="none" w:sz="0" w:space="0" w:color="auto"/>
      </w:divBdr>
      <w:divsChild>
        <w:div w:id="1217736084">
          <w:marLeft w:val="720"/>
          <w:marRight w:val="0"/>
          <w:marTop w:val="0"/>
          <w:marBottom w:val="0"/>
          <w:divBdr>
            <w:top w:val="none" w:sz="0" w:space="0" w:color="auto"/>
            <w:left w:val="none" w:sz="0" w:space="0" w:color="auto"/>
            <w:bottom w:val="none" w:sz="0" w:space="0" w:color="auto"/>
            <w:right w:val="none" w:sz="0" w:space="0" w:color="auto"/>
          </w:divBdr>
        </w:div>
        <w:div w:id="1494570172">
          <w:marLeft w:val="720"/>
          <w:marRight w:val="0"/>
          <w:marTop w:val="0"/>
          <w:marBottom w:val="0"/>
          <w:divBdr>
            <w:top w:val="none" w:sz="0" w:space="0" w:color="auto"/>
            <w:left w:val="none" w:sz="0" w:space="0" w:color="auto"/>
            <w:bottom w:val="none" w:sz="0" w:space="0" w:color="auto"/>
            <w:right w:val="none" w:sz="0" w:space="0" w:color="auto"/>
          </w:divBdr>
        </w:div>
        <w:div w:id="142551278">
          <w:marLeft w:val="720"/>
          <w:marRight w:val="0"/>
          <w:marTop w:val="0"/>
          <w:marBottom w:val="0"/>
          <w:divBdr>
            <w:top w:val="none" w:sz="0" w:space="0" w:color="auto"/>
            <w:left w:val="none" w:sz="0" w:space="0" w:color="auto"/>
            <w:bottom w:val="none" w:sz="0" w:space="0" w:color="auto"/>
            <w:right w:val="none" w:sz="0" w:space="0" w:color="auto"/>
          </w:divBdr>
        </w:div>
        <w:div w:id="468086725">
          <w:marLeft w:val="720"/>
          <w:marRight w:val="0"/>
          <w:marTop w:val="0"/>
          <w:marBottom w:val="0"/>
          <w:divBdr>
            <w:top w:val="none" w:sz="0" w:space="0" w:color="auto"/>
            <w:left w:val="none" w:sz="0" w:space="0" w:color="auto"/>
            <w:bottom w:val="none" w:sz="0" w:space="0" w:color="auto"/>
            <w:right w:val="none" w:sz="0" w:space="0" w:color="auto"/>
          </w:divBdr>
        </w:div>
      </w:divsChild>
    </w:div>
    <w:div w:id="266474578">
      <w:bodyDiv w:val="1"/>
      <w:marLeft w:val="0"/>
      <w:marRight w:val="0"/>
      <w:marTop w:val="0"/>
      <w:marBottom w:val="0"/>
      <w:divBdr>
        <w:top w:val="none" w:sz="0" w:space="0" w:color="auto"/>
        <w:left w:val="none" w:sz="0" w:space="0" w:color="auto"/>
        <w:bottom w:val="none" w:sz="0" w:space="0" w:color="auto"/>
        <w:right w:val="none" w:sz="0" w:space="0" w:color="auto"/>
      </w:divBdr>
    </w:div>
    <w:div w:id="344751490">
      <w:bodyDiv w:val="1"/>
      <w:marLeft w:val="0"/>
      <w:marRight w:val="0"/>
      <w:marTop w:val="0"/>
      <w:marBottom w:val="0"/>
      <w:divBdr>
        <w:top w:val="none" w:sz="0" w:space="0" w:color="auto"/>
        <w:left w:val="none" w:sz="0" w:space="0" w:color="auto"/>
        <w:bottom w:val="none" w:sz="0" w:space="0" w:color="auto"/>
        <w:right w:val="none" w:sz="0" w:space="0" w:color="auto"/>
      </w:divBdr>
    </w:div>
    <w:div w:id="419526287">
      <w:bodyDiv w:val="1"/>
      <w:marLeft w:val="0"/>
      <w:marRight w:val="0"/>
      <w:marTop w:val="0"/>
      <w:marBottom w:val="0"/>
      <w:divBdr>
        <w:top w:val="none" w:sz="0" w:space="0" w:color="auto"/>
        <w:left w:val="none" w:sz="0" w:space="0" w:color="auto"/>
        <w:bottom w:val="none" w:sz="0" w:space="0" w:color="auto"/>
        <w:right w:val="none" w:sz="0" w:space="0" w:color="auto"/>
      </w:divBdr>
    </w:div>
    <w:div w:id="1147865516">
      <w:bodyDiv w:val="1"/>
      <w:marLeft w:val="0"/>
      <w:marRight w:val="0"/>
      <w:marTop w:val="0"/>
      <w:marBottom w:val="0"/>
      <w:divBdr>
        <w:top w:val="none" w:sz="0" w:space="0" w:color="auto"/>
        <w:left w:val="none" w:sz="0" w:space="0" w:color="auto"/>
        <w:bottom w:val="none" w:sz="0" w:space="0" w:color="auto"/>
        <w:right w:val="none" w:sz="0" w:space="0" w:color="auto"/>
      </w:divBdr>
      <w:divsChild>
        <w:div w:id="203832199">
          <w:marLeft w:val="0"/>
          <w:marRight w:val="0"/>
          <w:marTop w:val="0"/>
          <w:marBottom w:val="160"/>
          <w:divBdr>
            <w:top w:val="none" w:sz="0" w:space="0" w:color="auto"/>
            <w:left w:val="none" w:sz="0" w:space="0" w:color="auto"/>
            <w:bottom w:val="none" w:sz="0" w:space="0" w:color="auto"/>
            <w:right w:val="none" w:sz="0" w:space="0" w:color="auto"/>
          </w:divBdr>
        </w:div>
        <w:div w:id="800734418">
          <w:marLeft w:val="0"/>
          <w:marRight w:val="0"/>
          <w:marTop w:val="0"/>
          <w:marBottom w:val="160"/>
          <w:divBdr>
            <w:top w:val="none" w:sz="0" w:space="0" w:color="auto"/>
            <w:left w:val="none" w:sz="0" w:space="0" w:color="auto"/>
            <w:bottom w:val="none" w:sz="0" w:space="0" w:color="auto"/>
            <w:right w:val="none" w:sz="0" w:space="0" w:color="auto"/>
          </w:divBdr>
        </w:div>
        <w:div w:id="1062093720">
          <w:marLeft w:val="0"/>
          <w:marRight w:val="0"/>
          <w:marTop w:val="0"/>
          <w:marBottom w:val="160"/>
          <w:divBdr>
            <w:top w:val="none" w:sz="0" w:space="0" w:color="auto"/>
            <w:left w:val="none" w:sz="0" w:space="0" w:color="auto"/>
            <w:bottom w:val="none" w:sz="0" w:space="0" w:color="auto"/>
            <w:right w:val="none" w:sz="0" w:space="0" w:color="auto"/>
          </w:divBdr>
        </w:div>
        <w:div w:id="159736187">
          <w:marLeft w:val="0"/>
          <w:marRight w:val="0"/>
          <w:marTop w:val="0"/>
          <w:marBottom w:val="160"/>
          <w:divBdr>
            <w:top w:val="none" w:sz="0" w:space="0" w:color="auto"/>
            <w:left w:val="none" w:sz="0" w:space="0" w:color="auto"/>
            <w:bottom w:val="none" w:sz="0" w:space="0" w:color="auto"/>
            <w:right w:val="none" w:sz="0" w:space="0" w:color="auto"/>
          </w:divBdr>
        </w:div>
      </w:divsChild>
    </w:div>
    <w:div w:id="1703094534">
      <w:bodyDiv w:val="1"/>
      <w:marLeft w:val="0"/>
      <w:marRight w:val="0"/>
      <w:marTop w:val="0"/>
      <w:marBottom w:val="0"/>
      <w:divBdr>
        <w:top w:val="none" w:sz="0" w:space="0" w:color="auto"/>
        <w:left w:val="none" w:sz="0" w:space="0" w:color="auto"/>
        <w:bottom w:val="none" w:sz="0" w:space="0" w:color="auto"/>
        <w:right w:val="none" w:sz="0" w:space="0" w:color="auto"/>
      </w:divBdr>
    </w:div>
    <w:div w:id="1712728046">
      <w:bodyDiv w:val="1"/>
      <w:marLeft w:val="0"/>
      <w:marRight w:val="0"/>
      <w:marTop w:val="0"/>
      <w:marBottom w:val="0"/>
      <w:divBdr>
        <w:top w:val="none" w:sz="0" w:space="0" w:color="auto"/>
        <w:left w:val="none" w:sz="0" w:space="0" w:color="auto"/>
        <w:bottom w:val="none" w:sz="0" w:space="0" w:color="auto"/>
        <w:right w:val="none" w:sz="0" w:space="0" w:color="auto"/>
      </w:divBdr>
      <w:divsChild>
        <w:div w:id="1040007310">
          <w:marLeft w:val="720"/>
          <w:marRight w:val="0"/>
          <w:marTop w:val="0"/>
          <w:marBottom w:val="200"/>
          <w:divBdr>
            <w:top w:val="none" w:sz="0" w:space="0" w:color="auto"/>
            <w:left w:val="none" w:sz="0" w:space="0" w:color="auto"/>
            <w:bottom w:val="none" w:sz="0" w:space="0" w:color="auto"/>
            <w:right w:val="none" w:sz="0" w:space="0" w:color="auto"/>
          </w:divBdr>
        </w:div>
        <w:div w:id="909459824">
          <w:marLeft w:val="720"/>
          <w:marRight w:val="0"/>
          <w:marTop w:val="0"/>
          <w:marBottom w:val="200"/>
          <w:divBdr>
            <w:top w:val="none" w:sz="0" w:space="0" w:color="auto"/>
            <w:left w:val="none" w:sz="0" w:space="0" w:color="auto"/>
            <w:bottom w:val="none" w:sz="0" w:space="0" w:color="auto"/>
            <w:right w:val="none" w:sz="0" w:space="0" w:color="auto"/>
          </w:divBdr>
        </w:div>
        <w:div w:id="1471706121">
          <w:marLeft w:val="720"/>
          <w:marRight w:val="0"/>
          <w:marTop w:val="0"/>
          <w:marBottom w:val="200"/>
          <w:divBdr>
            <w:top w:val="none" w:sz="0" w:space="0" w:color="auto"/>
            <w:left w:val="none" w:sz="0" w:space="0" w:color="auto"/>
            <w:bottom w:val="none" w:sz="0" w:space="0" w:color="auto"/>
            <w:right w:val="none" w:sz="0" w:space="0" w:color="auto"/>
          </w:divBdr>
        </w:div>
        <w:div w:id="796219834">
          <w:marLeft w:val="720"/>
          <w:marRight w:val="0"/>
          <w:marTop w:val="0"/>
          <w:marBottom w:val="200"/>
          <w:divBdr>
            <w:top w:val="none" w:sz="0" w:space="0" w:color="auto"/>
            <w:left w:val="none" w:sz="0" w:space="0" w:color="auto"/>
            <w:bottom w:val="none" w:sz="0" w:space="0" w:color="auto"/>
            <w:right w:val="none" w:sz="0" w:space="0" w:color="auto"/>
          </w:divBdr>
        </w:div>
        <w:div w:id="2013682719">
          <w:marLeft w:val="720"/>
          <w:marRight w:val="0"/>
          <w:marTop w:val="0"/>
          <w:marBottom w:val="0"/>
          <w:divBdr>
            <w:top w:val="none" w:sz="0" w:space="0" w:color="auto"/>
            <w:left w:val="none" w:sz="0" w:space="0" w:color="auto"/>
            <w:bottom w:val="none" w:sz="0" w:space="0" w:color="auto"/>
            <w:right w:val="none" w:sz="0" w:space="0" w:color="auto"/>
          </w:divBdr>
        </w:div>
        <w:div w:id="1742870262">
          <w:marLeft w:val="720"/>
          <w:marRight w:val="0"/>
          <w:marTop w:val="0"/>
          <w:marBottom w:val="0"/>
          <w:divBdr>
            <w:top w:val="none" w:sz="0" w:space="0" w:color="auto"/>
            <w:left w:val="none" w:sz="0" w:space="0" w:color="auto"/>
            <w:bottom w:val="none" w:sz="0" w:space="0" w:color="auto"/>
            <w:right w:val="none" w:sz="0" w:space="0" w:color="auto"/>
          </w:divBdr>
        </w:div>
      </w:divsChild>
    </w:div>
    <w:div w:id="196707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Barnett</dc:creator>
  <cp:keywords/>
  <dc:description/>
  <cp:lastModifiedBy>Jessica Hausmann</cp:lastModifiedBy>
  <cp:revision>2</cp:revision>
  <cp:lastPrinted>2016-05-24T23:24:00Z</cp:lastPrinted>
  <dcterms:created xsi:type="dcterms:W3CDTF">2016-06-03T01:26:00Z</dcterms:created>
  <dcterms:modified xsi:type="dcterms:W3CDTF">2016-06-03T01:26:00Z</dcterms:modified>
</cp:coreProperties>
</file>